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Relatório de teste de penetração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Sumário executivo</w:t>
      </w:r>
    </w:p>
    <w:p>
      <w:r>
        <w:rPr>
          <w:color w:val="374151"/>
          <w:sz w:val="22"/>
        </w:rPr>
        <w:t>Este relatório documenta os resultados do teste de penetração realizado nos sistemas de informação da organização, no âmbito da avaliação periódica da eficácia das medidas de segurança, conforme exigido pelo Art. 27.º alínea f) do Decreto-Lei n.º 125/2025. Os testes foram realizados entre [data de início] e [data de fim], por [nome da empresa/equipa].</w:t>
      </w:r>
    </w:p>
    <w:p>
      <w:r>
        <w:rPr>
          <w:color w:val="374151"/>
          <w:sz w:val="22"/>
        </w:rPr>
        <w:t>Foram identificadas [X] vulnerabilidades, das quais [X] de severidade crítica, [X] alta, [X] média e [X] baixa. As descobertas mais significativas incluem [resumo das 3 descobertas mais críticas]. Recomenda-se a remediação imediata das vulnerabilidades críticas e altas no prazo de 30 e 90 dias, respetivamente.</w:t>
      </w:r>
    </w:p>
    <w:p>
      <w:r>
        <w:rPr>
          <w:color w:val="374151"/>
          <w:sz w:val="22"/>
        </w:rPr>
        <w:t>A pontuação de risco global do ambiente avaliado é classificada como [Crítico / Alto / Médio / Baixo], com base no número e severidade das vulnerabilidades encontradas e no potencial de exploração em cadeia. Este relatório é classificado como Confidencial e destinado exclusivamente ao órgão de gestão e à equipa de segurança da organização.</w:t>
      </w:r>
    </w:p>
    <w:p>
      <w:pPr>
        <w:pStyle w:val="Heading1"/>
      </w:pPr>
      <w:r>
        <w:rPr>
          <w:b/>
          <w:color w:val="1E3A8A"/>
          <w:sz w:val="32"/>
        </w:rPr>
        <w:t>2. Âmbito e metodologia</w:t>
      </w:r>
    </w:p>
    <w:p>
      <w:r>
        <w:rPr>
          <w:color w:val="374151"/>
          <w:sz w:val="22"/>
        </w:rPr>
        <w:t>O âmbito dos testes foi definido no documento de autorização assinado pelas partes em [data]. Todos os testes foram realizados com autorização explícita e dentro dos limites acordados. Qualquer extensão do âmbito foi documentada e autorizada separadamente.</w:t>
      </w:r>
    </w:p>
    <w:p>
      <w:pPr>
        <w:pStyle w:val="ListParagraph"/>
      </w:pPr>
      <w:r>
        <w:rPr>
          <w:color w:val="374151"/>
          <w:sz w:val="22"/>
        </w:rPr>
        <w:t>Sistemas no âmbito: [lista de IPs, URLs, aplicações ou segmentos de rede autorizados para teste].</w:t>
      </w:r>
    </w:p>
    <w:p>
      <w:pPr>
        <w:pStyle w:val="ListParagraph"/>
      </w:pPr>
      <w:r>
        <w:rPr>
          <w:color w:val="374151"/>
          <w:sz w:val="22"/>
        </w:rPr>
        <w:t>Sistemas excluídos: [lista de sistemas explicitamente excluídos do âmbito].</w:t>
      </w:r>
    </w:p>
    <w:p>
      <w:pPr>
        <w:pStyle w:val="ListParagraph"/>
      </w:pPr>
      <w:r>
        <w:rPr>
          <w:color w:val="374151"/>
          <w:sz w:val="22"/>
        </w:rPr>
        <w:t>Tipo de teste: [caixa negra / caixa cinzenta / caixa branca]. Credenciais fornecidas: [sim/não, tipo de acesso].</w:t>
      </w:r>
    </w:p>
    <w:p>
      <w:pPr>
        <w:pStyle w:val="ListParagraph"/>
      </w:pPr>
      <w:r>
        <w:rPr>
          <w:color w:val="374151"/>
          <w:sz w:val="22"/>
        </w:rPr>
        <w:t>Metodologia: PTES (Penetration Testing Execution Standard), OWASP Testing Guide v4.2, MITRE ATT&amp;CK framework. Ferramentas utilizadas: [lista de ferramentas principais].</w:t>
      </w:r>
    </w:p>
    <w:p>
      <w:pPr>
        <w:pStyle w:val="ListParagraph"/>
      </w:pPr>
      <w:r>
        <w:rPr>
          <w:color w:val="374151"/>
          <w:sz w:val="22"/>
        </w:rPr>
        <w:t>Período de teste: [datas]. Janelas de manutenção respeitadas: [sim/não]. Contacto de emergência durante os testes: [nome e contacto].</w:t>
      </w:r>
    </w:p>
    <w:p>
      <w:pPr>
        <w:pStyle w:val="Heading1"/>
      </w:pPr>
      <w:r>
        <w:rPr>
          <w:b/>
          <w:color w:val="1E3A8A"/>
          <w:sz w:val="32"/>
        </w:rPr>
        <w:t>3. Descobertas</w:t>
      </w:r>
    </w:p>
    <w:p>
      <w:r>
        <w:rPr>
          <w:color w:val="374151"/>
          <w:sz w:val="22"/>
        </w:rPr>
        <w:t>As vulnerabilidades identificadas estão documentadas na tabela abaixo, ordenadas por severidade. Para cada descoberta são apresentados o identificador único, a severidade, a descrição, a pontuação CVSS v3.1, a evidência recolhida e a recomendação de remediação.</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color="1e3a8a" w:val="solid"/>
            <w:vAlign w:val="center"/>
          </w:tcPr>
          <w:p>
            <w:pPr>
              <w:jc w:val="center"/>
            </w:pPr>
            <w:r/>
            <w:r>
              <w:rPr>
                <w:b/>
                <w:color w:val="FFFFFF"/>
                <w:sz w:val="22"/>
              </w:rPr>
              <w:t>ID</w:t>
            </w:r>
          </w:p>
        </w:tc>
        <w:tc>
          <w:tcPr>
            <w:tcW w:type="dxa" w:w="1568"/>
            <w:shd w:color="1e3a8a" w:val="solid"/>
            <w:vAlign w:val="center"/>
          </w:tcPr>
          <w:p>
            <w:pPr>
              <w:jc w:val="center"/>
            </w:pPr>
            <w:r/>
            <w:r>
              <w:rPr>
                <w:b/>
                <w:color w:val="FFFFFF"/>
                <w:sz w:val="22"/>
              </w:rPr>
              <w:t>Severidade</w:t>
            </w:r>
          </w:p>
        </w:tc>
        <w:tc>
          <w:tcPr>
            <w:tcW w:type="dxa" w:w="1568"/>
            <w:shd w:color="1e3a8a" w:val="solid"/>
            <w:vAlign w:val="center"/>
          </w:tcPr>
          <w:p>
            <w:pPr>
              <w:jc w:val="center"/>
            </w:pPr>
            <w:r/>
            <w:r>
              <w:rPr>
                <w:b/>
                <w:color w:val="FFFFFF"/>
                <w:sz w:val="22"/>
              </w:rPr>
              <w:t>Descrição</w:t>
            </w:r>
          </w:p>
        </w:tc>
        <w:tc>
          <w:tcPr>
            <w:tcW w:type="dxa" w:w="1568"/>
            <w:shd w:color="1e3a8a" w:val="solid"/>
            <w:vAlign w:val="center"/>
          </w:tcPr>
          <w:p>
            <w:pPr>
              <w:jc w:val="center"/>
            </w:pPr>
            <w:r/>
            <w:r>
              <w:rPr>
                <w:b/>
                <w:color w:val="FFFFFF"/>
                <w:sz w:val="22"/>
              </w:rPr>
              <w:t>CVSS</w:t>
            </w:r>
          </w:p>
        </w:tc>
        <w:tc>
          <w:tcPr>
            <w:tcW w:type="dxa" w:w="1568"/>
            <w:shd w:color="1e3a8a" w:val="solid"/>
            <w:vAlign w:val="center"/>
          </w:tcPr>
          <w:p>
            <w:pPr>
              <w:jc w:val="center"/>
            </w:pPr>
            <w:r/>
            <w:r>
              <w:rPr>
                <w:b/>
                <w:color w:val="FFFFFF"/>
                <w:sz w:val="22"/>
              </w:rPr>
              <w:t>Evidência</w:t>
            </w:r>
          </w:p>
        </w:tc>
        <w:tc>
          <w:tcPr>
            <w:tcW w:type="dxa" w:w="1568"/>
            <w:shd w:color="1e3a8a" w:val="solid"/>
            <w:vAlign w:val="center"/>
          </w:tcPr>
          <w:p>
            <w:pPr>
              <w:jc w:val="center"/>
            </w:pPr>
            <w:r/>
            <w:r>
              <w:rPr>
                <w:b/>
                <w:color w:val="FFFFFF"/>
                <w:sz w:val="22"/>
              </w:rPr>
              <w:t>Recomendação</w:t>
            </w:r>
          </w:p>
        </w:tc>
      </w:tr>
      <w:tr>
        <w:tc>
          <w:tcPr>
            <w:tcW w:type="dxa" w:w="1568"/>
          </w:tcPr>
          <w:p>
            <w:r/>
            <w:r>
              <w:rPr>
                <w:color w:val="374151"/>
                <w:sz w:val="22"/>
              </w:rPr>
              <w:t>PT-001</w:t>
            </w:r>
          </w:p>
        </w:tc>
        <w:tc>
          <w:tcPr>
            <w:tcW w:type="dxa" w:w="1568"/>
          </w:tcPr>
          <w:p>
            <w:r/>
            <w:r>
              <w:rPr>
                <w:color w:val="374151"/>
                <w:sz w:val="22"/>
              </w:rPr>
              <w:t>Crítica</w:t>
            </w:r>
          </w:p>
        </w:tc>
        <w:tc>
          <w:tcPr>
            <w:tcW w:type="dxa" w:w="1568"/>
          </w:tcPr>
          <w:p>
            <w:r/>
            <w:r>
              <w:rPr>
                <w:color w:val="374151"/>
                <w:sz w:val="22"/>
              </w:rPr>
              <w:t>Injeção SQL em formulário de autenticação</w:t>
            </w:r>
          </w:p>
        </w:tc>
        <w:tc>
          <w:tcPr>
            <w:tcW w:type="dxa" w:w="1568"/>
          </w:tcPr>
          <w:p>
            <w:r/>
            <w:r>
              <w:rPr>
                <w:color w:val="374151"/>
                <w:sz w:val="22"/>
              </w:rPr>
              <w:t>9.8</w:t>
            </w:r>
          </w:p>
        </w:tc>
        <w:tc>
          <w:tcPr>
            <w:tcW w:type="dxa" w:w="1568"/>
          </w:tcPr>
          <w:p>
            <w:r/>
            <w:r>
              <w:rPr>
                <w:color w:val="374151"/>
                <w:sz w:val="22"/>
              </w:rPr>
              <w:t>Screenshot + payload</w:t>
            </w:r>
          </w:p>
        </w:tc>
        <w:tc>
          <w:tcPr>
            <w:tcW w:type="dxa" w:w="1568"/>
          </w:tcPr>
          <w:p>
            <w:r/>
            <w:r>
              <w:rPr>
                <w:color w:val="374151"/>
                <w:sz w:val="22"/>
              </w:rPr>
              <w:t>Implementar prepared statements e validação de input</w:t>
            </w:r>
          </w:p>
        </w:tc>
      </w:tr>
      <w:tr>
        <w:tc>
          <w:tcPr>
            <w:tcW w:type="dxa" w:w="1568"/>
          </w:tcPr>
          <w:p>
            <w:r/>
            <w:r>
              <w:rPr>
                <w:color w:val="374151"/>
                <w:sz w:val="22"/>
              </w:rPr>
              <w:t>PT-002</w:t>
            </w:r>
          </w:p>
        </w:tc>
        <w:tc>
          <w:tcPr>
            <w:tcW w:type="dxa" w:w="1568"/>
          </w:tcPr>
          <w:p>
            <w:r/>
            <w:r>
              <w:rPr>
                <w:color w:val="374151"/>
                <w:sz w:val="22"/>
              </w:rPr>
              <w:t>Alta</w:t>
            </w:r>
          </w:p>
        </w:tc>
        <w:tc>
          <w:tcPr>
            <w:tcW w:type="dxa" w:w="1568"/>
          </w:tcPr>
          <w:p>
            <w:r/>
            <w:r>
              <w:rPr>
                <w:color w:val="374151"/>
                <w:sz w:val="22"/>
              </w:rPr>
              <w:t>Credenciais por defeito em interface de administração</w:t>
            </w:r>
          </w:p>
        </w:tc>
        <w:tc>
          <w:tcPr>
            <w:tcW w:type="dxa" w:w="1568"/>
          </w:tcPr>
          <w:p>
            <w:r/>
            <w:r>
              <w:rPr>
                <w:color w:val="374151"/>
                <w:sz w:val="22"/>
              </w:rPr>
              <w:t>8.5</w:t>
            </w:r>
          </w:p>
        </w:tc>
        <w:tc>
          <w:tcPr>
            <w:tcW w:type="dxa" w:w="1568"/>
          </w:tcPr>
          <w:p>
            <w:r/>
            <w:r>
              <w:rPr>
                <w:color w:val="374151"/>
                <w:sz w:val="22"/>
              </w:rPr>
              <w:t>Acesso confirmado</w:t>
            </w:r>
          </w:p>
        </w:tc>
        <w:tc>
          <w:tcPr>
            <w:tcW w:type="dxa" w:w="1568"/>
          </w:tcPr>
          <w:p>
            <w:r/>
            <w:r>
              <w:rPr>
                <w:color w:val="374151"/>
                <w:sz w:val="22"/>
              </w:rPr>
              <w:t>Alterar credenciais e implementar MFA</w:t>
            </w:r>
          </w:p>
        </w:tc>
      </w:tr>
      <w:tr>
        <w:tc>
          <w:tcPr>
            <w:tcW w:type="dxa" w:w="1568"/>
          </w:tcPr>
          <w:p>
            <w:r/>
            <w:r>
              <w:rPr>
                <w:color w:val="374151"/>
                <w:sz w:val="22"/>
              </w:rPr>
              <w:t>PT-003</w:t>
            </w:r>
          </w:p>
        </w:tc>
        <w:tc>
          <w:tcPr>
            <w:tcW w:type="dxa" w:w="1568"/>
          </w:tcPr>
          <w:p>
            <w:r/>
            <w:r>
              <w:rPr>
                <w:color w:val="374151"/>
                <w:sz w:val="22"/>
              </w:rPr>
              <w:t>Alta</w:t>
            </w:r>
          </w:p>
        </w:tc>
        <w:tc>
          <w:tcPr>
            <w:tcW w:type="dxa" w:w="1568"/>
          </w:tcPr>
          <w:p>
            <w:r/>
            <w:r>
              <w:rPr>
                <w:color w:val="374151"/>
                <w:sz w:val="22"/>
              </w:rPr>
              <w:t>TLS 1.0 ativo em servidor de pagamentos</w:t>
            </w:r>
          </w:p>
        </w:tc>
        <w:tc>
          <w:tcPr>
            <w:tcW w:type="dxa" w:w="1568"/>
          </w:tcPr>
          <w:p>
            <w:r/>
            <w:r>
              <w:rPr>
                <w:color w:val="374151"/>
                <w:sz w:val="22"/>
              </w:rPr>
              <w:t>7.5</w:t>
            </w:r>
          </w:p>
        </w:tc>
        <w:tc>
          <w:tcPr>
            <w:tcW w:type="dxa" w:w="1568"/>
          </w:tcPr>
          <w:p>
            <w:r/>
            <w:r>
              <w:rPr>
                <w:color w:val="374151"/>
                <w:sz w:val="22"/>
              </w:rPr>
              <w:t>Scan SSL Labs</w:t>
            </w:r>
          </w:p>
        </w:tc>
        <w:tc>
          <w:tcPr>
            <w:tcW w:type="dxa" w:w="1568"/>
          </w:tcPr>
          <w:p>
            <w:r/>
            <w:r>
              <w:rPr>
                <w:color w:val="374151"/>
                <w:sz w:val="22"/>
              </w:rPr>
              <w:t>Desativar TLS 1.0/1.1, forçar TLS 1.2+</w:t>
            </w:r>
          </w:p>
        </w:tc>
      </w:tr>
      <w:tr>
        <w:tc>
          <w:tcPr>
            <w:tcW w:type="dxa" w:w="1568"/>
          </w:tcPr>
          <w:p>
            <w:r/>
            <w:r>
              <w:rPr>
                <w:color w:val="374151"/>
                <w:sz w:val="22"/>
              </w:rPr>
              <w:t>PT-004</w:t>
            </w:r>
          </w:p>
        </w:tc>
        <w:tc>
          <w:tcPr>
            <w:tcW w:type="dxa" w:w="1568"/>
          </w:tcPr>
          <w:p>
            <w:r/>
            <w:r>
              <w:rPr>
                <w:color w:val="374151"/>
                <w:sz w:val="22"/>
              </w:rPr>
              <w:t>Média</w:t>
            </w:r>
          </w:p>
        </w:tc>
        <w:tc>
          <w:tcPr>
            <w:tcW w:type="dxa" w:w="1568"/>
          </w:tcPr>
          <w:p>
            <w:r/>
            <w:r>
              <w:rPr>
                <w:color w:val="374151"/>
                <w:sz w:val="22"/>
              </w:rPr>
              <w:t>Cabeçalhos de segurança HTTP ausentes</w:t>
            </w:r>
          </w:p>
        </w:tc>
        <w:tc>
          <w:tcPr>
            <w:tcW w:type="dxa" w:w="1568"/>
          </w:tcPr>
          <w:p>
            <w:r/>
            <w:r>
              <w:rPr>
                <w:color w:val="374151"/>
                <w:sz w:val="22"/>
              </w:rPr>
              <w:t>5.3</w:t>
            </w:r>
          </w:p>
        </w:tc>
        <w:tc>
          <w:tcPr>
            <w:tcW w:type="dxa" w:w="1568"/>
          </w:tcPr>
          <w:p>
            <w:r/>
            <w:r>
              <w:rPr>
                <w:color w:val="374151"/>
                <w:sz w:val="22"/>
              </w:rPr>
              <w:t>Resposta HTTP capturada</w:t>
            </w:r>
          </w:p>
        </w:tc>
        <w:tc>
          <w:tcPr>
            <w:tcW w:type="dxa" w:w="1568"/>
          </w:tcPr>
          <w:p>
            <w:r/>
            <w:r>
              <w:rPr>
                <w:color w:val="374151"/>
                <w:sz w:val="22"/>
              </w:rPr>
              <w:t>Implementar HSTS, CSP, X-Frame-Options</w:t>
            </w:r>
          </w:p>
        </w:tc>
      </w:tr>
      <w:tr>
        <w:tc>
          <w:tcPr>
            <w:tcW w:type="dxa" w:w="1568"/>
          </w:tcPr>
          <w:p>
            <w:r/>
            <w:r>
              <w:rPr>
                <w:color w:val="374151"/>
                <w:sz w:val="22"/>
              </w:rPr>
              <w:t>PT-005</w:t>
            </w:r>
          </w:p>
        </w:tc>
        <w:tc>
          <w:tcPr>
            <w:tcW w:type="dxa" w:w="1568"/>
          </w:tcPr>
          <w:p>
            <w:r/>
            <w:r>
              <w:rPr>
                <w:color w:val="374151"/>
                <w:sz w:val="22"/>
              </w:rPr>
              <w:t>Baixa</w:t>
            </w:r>
          </w:p>
        </w:tc>
        <w:tc>
          <w:tcPr>
            <w:tcW w:type="dxa" w:w="1568"/>
          </w:tcPr>
          <w:p>
            <w:r/>
            <w:r>
              <w:rPr>
                <w:color w:val="374151"/>
                <w:sz w:val="22"/>
              </w:rPr>
              <w:t>Enumeração de utilizadores via mensagens de erro</w:t>
            </w:r>
          </w:p>
        </w:tc>
        <w:tc>
          <w:tcPr>
            <w:tcW w:type="dxa" w:w="1568"/>
          </w:tcPr>
          <w:p>
            <w:r/>
            <w:r>
              <w:rPr>
                <w:color w:val="374151"/>
                <w:sz w:val="22"/>
              </w:rPr>
              <w:t>3.7</w:t>
            </w:r>
          </w:p>
        </w:tc>
        <w:tc>
          <w:tcPr>
            <w:tcW w:type="dxa" w:w="1568"/>
          </w:tcPr>
          <w:p>
            <w:r/>
            <w:r>
              <w:rPr>
                <w:color w:val="374151"/>
                <w:sz w:val="22"/>
              </w:rPr>
              <w:t>Diferença nas respostas</w:t>
            </w:r>
          </w:p>
        </w:tc>
        <w:tc>
          <w:tcPr>
            <w:tcW w:type="dxa" w:w="1568"/>
          </w:tcPr>
          <w:p>
            <w:r/>
            <w:r>
              <w:rPr>
                <w:color w:val="374151"/>
                <w:sz w:val="22"/>
              </w:rPr>
              <w:t>Uniformizar mensagens de erro de autenticação</w:t>
            </w:r>
          </w:p>
        </w:tc>
      </w:tr>
    </w:tbl>
    <w:p/>
    <w:p>
      <w:pPr>
        <w:pStyle w:val="Heading1"/>
      </w:pPr>
      <w:r>
        <w:rPr>
          <w:b/>
          <w:color w:val="1E3A8A"/>
          <w:sz w:val="32"/>
        </w:rPr>
        <w:t>4. Classificação por risco</w:t>
      </w:r>
    </w:p>
    <w:p>
      <w:r>
        <w:rPr>
          <w:color w:val="374151"/>
          <w:sz w:val="22"/>
        </w:rPr>
        <w:t>A classificação de risco de cada descoberta é determinada pela pontuação CVSS v3.1, que considera a explorabilidade (vetor de acesso, complexidade, privilégios necessários, interação do utilizador) e o impacto (confidencialidade, integridade, disponibilidade). A classificação pode ser ajustada pelo contexto específico da organização.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Nível de severidade</w:t>
            </w:r>
          </w:p>
        </w:tc>
        <w:tc>
          <w:tcPr>
            <w:tcW w:type="dxa" w:w="2351"/>
            <w:shd w:color="1e3a8a" w:val="solid"/>
            <w:vAlign w:val="center"/>
          </w:tcPr>
          <w:p>
            <w:pPr>
              <w:jc w:val="center"/>
            </w:pPr>
            <w:r/>
            <w:r>
              <w:rPr>
                <w:b/>
                <w:color w:val="FFFFFF"/>
                <w:sz w:val="22"/>
              </w:rPr>
              <w:t>CVSS</w:t>
            </w:r>
          </w:p>
        </w:tc>
        <w:tc>
          <w:tcPr>
            <w:tcW w:type="dxa" w:w="2351"/>
            <w:shd w:color="1e3a8a" w:val="solid"/>
            <w:vAlign w:val="center"/>
          </w:tcPr>
          <w:p>
            <w:pPr>
              <w:jc w:val="center"/>
            </w:pPr>
            <w:r/>
            <w:r>
              <w:rPr>
                <w:b/>
                <w:color w:val="FFFFFF"/>
                <w:sz w:val="22"/>
              </w:rPr>
              <w:t>Número de descobertas</w:t>
            </w:r>
          </w:p>
        </w:tc>
        <w:tc>
          <w:tcPr>
            <w:tcW w:type="dxa" w:w="2351"/>
            <w:shd w:color="1e3a8a" w:val="solid"/>
            <w:vAlign w:val="center"/>
          </w:tcPr>
          <w:p>
            <w:pPr>
              <w:jc w:val="center"/>
            </w:pPr>
            <w:r/>
            <w:r>
              <w:rPr>
                <w:b/>
                <w:color w:val="FFFFFF"/>
                <w:sz w:val="22"/>
              </w:rPr>
              <w:t>Prazo de remediação</w:t>
            </w:r>
          </w:p>
        </w:tc>
      </w:tr>
      <w:tr>
        <w:tc>
          <w:tcPr>
            <w:tcW w:type="dxa" w:w="2351"/>
          </w:tcPr>
          <w:p>
            <w:r/>
            <w:r>
              <w:rPr>
                <w:color w:val="374151"/>
                <w:sz w:val="22"/>
              </w:rPr>
              <w:t>Crítica</w:t>
            </w:r>
          </w:p>
        </w:tc>
        <w:tc>
          <w:tcPr>
            <w:tcW w:type="dxa" w:w="2351"/>
          </w:tcPr>
          <w:p>
            <w:r/>
            <w:r>
              <w:rPr>
                <w:color w:val="374151"/>
                <w:sz w:val="22"/>
              </w:rPr>
              <w:t>9.0 - 10.0</w:t>
            </w:r>
          </w:p>
        </w:tc>
        <w:tc>
          <w:tcPr>
            <w:tcW w:type="dxa" w:w="2351"/>
          </w:tcPr>
          <w:p>
            <w:r/>
            <w:r>
              <w:rPr>
                <w:color w:val="374151"/>
                <w:sz w:val="22"/>
              </w:rPr>
              <w:t>[X]</w:t>
            </w:r>
          </w:p>
        </w:tc>
        <w:tc>
          <w:tcPr>
            <w:tcW w:type="dxa" w:w="2351"/>
          </w:tcPr>
          <w:p>
            <w:r/>
            <w:r>
              <w:rPr>
                <w:color w:val="374151"/>
                <w:sz w:val="22"/>
              </w:rPr>
              <w:t>30 dias</w:t>
            </w:r>
          </w:p>
        </w:tc>
      </w:tr>
      <w:tr>
        <w:tc>
          <w:tcPr>
            <w:tcW w:type="dxa" w:w="2351"/>
          </w:tcPr>
          <w:p>
            <w:r/>
            <w:r>
              <w:rPr>
                <w:color w:val="374151"/>
                <w:sz w:val="22"/>
              </w:rPr>
              <w:t>Alta</w:t>
            </w:r>
          </w:p>
        </w:tc>
        <w:tc>
          <w:tcPr>
            <w:tcW w:type="dxa" w:w="2351"/>
          </w:tcPr>
          <w:p>
            <w:r/>
            <w:r>
              <w:rPr>
                <w:color w:val="374151"/>
                <w:sz w:val="22"/>
              </w:rPr>
              <w:t>7.0 - 8.9</w:t>
            </w:r>
          </w:p>
        </w:tc>
        <w:tc>
          <w:tcPr>
            <w:tcW w:type="dxa" w:w="2351"/>
          </w:tcPr>
          <w:p>
            <w:r/>
            <w:r>
              <w:rPr>
                <w:color w:val="374151"/>
                <w:sz w:val="22"/>
              </w:rPr>
              <w:t>[X]</w:t>
            </w:r>
          </w:p>
        </w:tc>
        <w:tc>
          <w:tcPr>
            <w:tcW w:type="dxa" w:w="2351"/>
          </w:tcPr>
          <w:p>
            <w:r/>
            <w:r>
              <w:rPr>
                <w:color w:val="374151"/>
                <w:sz w:val="22"/>
              </w:rPr>
              <w:t>90 dias</w:t>
            </w:r>
          </w:p>
        </w:tc>
      </w:tr>
      <w:tr>
        <w:tc>
          <w:tcPr>
            <w:tcW w:type="dxa" w:w="2351"/>
          </w:tcPr>
          <w:p>
            <w:r/>
            <w:r>
              <w:rPr>
                <w:color w:val="374151"/>
                <w:sz w:val="22"/>
              </w:rPr>
              <w:t>Média</w:t>
            </w:r>
          </w:p>
        </w:tc>
        <w:tc>
          <w:tcPr>
            <w:tcW w:type="dxa" w:w="2351"/>
          </w:tcPr>
          <w:p>
            <w:r/>
            <w:r>
              <w:rPr>
                <w:color w:val="374151"/>
                <w:sz w:val="22"/>
              </w:rPr>
              <w:t>4.0 - 6.9</w:t>
            </w:r>
          </w:p>
        </w:tc>
        <w:tc>
          <w:tcPr>
            <w:tcW w:type="dxa" w:w="2351"/>
          </w:tcPr>
          <w:p>
            <w:r/>
            <w:r>
              <w:rPr>
                <w:color w:val="374151"/>
                <w:sz w:val="22"/>
              </w:rPr>
              <w:t>[X]</w:t>
            </w:r>
          </w:p>
        </w:tc>
        <w:tc>
          <w:tcPr>
            <w:tcW w:type="dxa" w:w="2351"/>
          </w:tcPr>
          <w:p>
            <w:r/>
            <w:r>
              <w:rPr>
                <w:color w:val="374151"/>
                <w:sz w:val="22"/>
              </w:rPr>
              <w:t>180 dias</w:t>
            </w:r>
          </w:p>
        </w:tc>
      </w:tr>
      <w:tr>
        <w:tc>
          <w:tcPr>
            <w:tcW w:type="dxa" w:w="2351"/>
          </w:tcPr>
          <w:p>
            <w:r/>
            <w:r>
              <w:rPr>
                <w:color w:val="374151"/>
                <w:sz w:val="22"/>
              </w:rPr>
              <w:t>Baixa</w:t>
            </w:r>
          </w:p>
        </w:tc>
        <w:tc>
          <w:tcPr>
            <w:tcW w:type="dxa" w:w="2351"/>
          </w:tcPr>
          <w:p>
            <w:r/>
            <w:r>
              <w:rPr>
                <w:color w:val="374151"/>
                <w:sz w:val="22"/>
              </w:rPr>
              <w:t>0.1 - 3.9</w:t>
            </w:r>
          </w:p>
        </w:tc>
        <w:tc>
          <w:tcPr>
            <w:tcW w:type="dxa" w:w="2351"/>
          </w:tcPr>
          <w:p>
            <w:r/>
            <w:r>
              <w:rPr>
                <w:color w:val="374151"/>
                <w:sz w:val="22"/>
              </w:rPr>
              <w:t>[X]</w:t>
            </w:r>
          </w:p>
        </w:tc>
        <w:tc>
          <w:tcPr>
            <w:tcW w:type="dxa" w:w="2351"/>
          </w:tcPr>
          <w:p>
            <w:r/>
            <w:r>
              <w:rPr>
                <w:color w:val="374151"/>
                <w:sz w:val="22"/>
              </w:rPr>
              <w:t>365 dias</w:t>
            </w:r>
          </w:p>
        </w:tc>
      </w:tr>
      <w:tr>
        <w:tc>
          <w:tcPr>
            <w:tcW w:type="dxa" w:w="2351"/>
          </w:tcPr>
          <w:p>
            <w:r/>
            <w:r>
              <w:rPr>
                <w:color w:val="374151"/>
                <w:sz w:val="22"/>
              </w:rPr>
              <w:t>Informativa</w:t>
            </w:r>
          </w:p>
        </w:tc>
        <w:tc>
          <w:tcPr>
            <w:tcW w:type="dxa" w:w="2351"/>
          </w:tcPr>
          <w:p>
            <w:r/>
            <w:r>
              <w:rPr>
                <w:color w:val="374151"/>
                <w:sz w:val="22"/>
              </w:rPr>
              <w:t>N/A</w:t>
            </w:r>
          </w:p>
        </w:tc>
        <w:tc>
          <w:tcPr>
            <w:tcW w:type="dxa" w:w="2351"/>
          </w:tcPr>
          <w:p>
            <w:r/>
            <w:r>
              <w:rPr>
                <w:color w:val="374151"/>
                <w:sz w:val="22"/>
              </w:rPr>
              <w:t>[X]</w:t>
            </w:r>
          </w:p>
        </w:tc>
        <w:tc>
          <w:tcPr>
            <w:tcW w:type="dxa" w:w="2351"/>
          </w:tcPr>
          <w:p>
            <w:r/>
            <w:r>
              <w:rPr>
                <w:color w:val="374151"/>
                <w:sz w:val="22"/>
              </w:rPr>
              <w:t>A critério</w:t>
            </w:r>
          </w:p>
        </w:tc>
      </w:tr>
    </w:tbl>
    <w:p/>
    <w:p>
      <w:pPr>
        <w:pStyle w:val="Heading1"/>
      </w:pPr>
      <w:r>
        <w:rPr>
          <w:b/>
          <w:color w:val="1E3A8A"/>
          <w:sz w:val="32"/>
        </w:rPr>
        <w:t>5. Plano de remediação</w:t>
      </w:r>
    </w:p>
    <w:p>
      <w:r>
        <w:rPr>
          <w:color w:val="374151"/>
          <w:sz w:val="22"/>
        </w:rPr>
        <w:t>O plano de remediação define as ações necessárias para corrigir as vulnerabilidades identificadas, com priorização baseada na severidade e no risco para o negócio. A equipa de segurança deve acompanhar o progresso da remediação e realizar testes de verificação (retest) após a implementação das correções.</w:t>
      </w:r>
    </w:p>
    <w:p>
      <w:pPr>
        <w:pStyle w:val="ListParagraph"/>
      </w:pPr>
      <w:r>
        <w:rPr>
          <w:color w:val="374151"/>
          <w:sz w:val="22"/>
        </w:rPr>
        <w:t>Vulnerabilidades críticas e altas: a organização deve iniciar imediatamente a remediação, com recursos dedicados. O CISO deve reportar o progresso ao órgão de gestão semanalmente até à resolução completa.</w:t>
      </w:r>
    </w:p>
    <w:p>
      <w:pPr>
        <w:pStyle w:val="ListParagraph"/>
      </w:pPr>
      <w:r>
        <w:rPr>
          <w:color w:val="374151"/>
          <w:sz w:val="22"/>
        </w:rPr>
        <w:t>Vulnerabilidades médias: incluir no plano de tratamento de riscos trimestral. Atribuir responsável e prazo concreto.</w:t>
      </w:r>
    </w:p>
    <w:p>
      <w:pPr>
        <w:pStyle w:val="ListParagraph"/>
      </w:pPr>
      <w:r>
        <w:rPr>
          <w:color w:val="374151"/>
          <w:sz w:val="22"/>
        </w:rPr>
        <w:t>Teste de verificação (retest): após remediação, realizar teste de verificação para confirmar que a vulnerabilidade foi corretamente corrigida sem introduzir novos problemas. Documentar o resultado no registo de incidentes.</w:t>
      </w:r>
    </w:p>
    <w:p>
      <w:pPr>
        <w:pStyle w:val="Heading1"/>
      </w:pPr>
      <w:r>
        <w:rPr>
          <w:b/>
          <w:color w:val="1E3A8A"/>
          <w:sz w:val="32"/>
        </w:rPr>
        <w:t>6. Conclusão</w:t>
      </w:r>
    </w:p>
    <w:p>
      <w:r>
        <w:rPr>
          <w:color w:val="374151"/>
          <w:sz w:val="22"/>
        </w:rPr>
        <w:t>O teste de penetração identificou um conjunto de vulnerabilidades que, se exploradas, poderiam comprometer a confidencialidade, integridade e disponibilidade dos sistemas e dados da organização. A remediação atempada das descobertas críticas e altas é fundamental para cumprir os requisitos de segurança exigidos pelo Decreto-Lei n.º 125/2025.</w:t>
      </w:r>
    </w:p>
    <w:p>
      <w:r>
        <w:rPr>
          <w:color w:val="374151"/>
          <w:sz w:val="22"/>
        </w:rPr>
        <w:t>Recomenda-se a realização de testes de penetração com periodicidade anual, ou após alterações significativas à infraestrutura. Os resultados deste teste devem ser integrados no registo de riscos da organização e comunicados ao órgão de gestão, conforme exigido pelo Art. 29.º do DL 125/2025.</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Responsável de operações de TI</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