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rPr>
          <w:color w:val="9CA3AF"/>
          <w:sz w:val="22"/>
        </w:rPr>
        <w:t>[Nome da organização]</w:t>
      </w:r>
    </w:p>
    <w:p>
      <w:pPr>
        <w:jc w:val="center"/>
      </w:pPr>
      <w:r>
        <w:rPr>
          <w:b/>
          <w:color w:val="1E3A8A"/>
          <w:sz w:val="28"/>
        </w:rPr>
        <w:t>Guia de exercício tabletop de cibersegurança NIS2</w:t>
      </w:r>
    </w:p>
    <w:p>
      <w:pPr>
        <w:jc w:val="center"/>
      </w:pPr>
      <w:r>
        <w:rPr>
          <w:color w:val="374151"/>
          <w:sz w:val="22"/>
        </w:rPr>
        <w:t>Conformidade com o Decreto-Lei n.º 125/2025 (NIS2)</w:t>
      </w:r>
    </w:p>
    <w:p>
      <w:pPr>
        <w:jc w:val="center"/>
      </w:pPr>
      <w:r>
        <w:rPr>
          <w:b/>
          <w:color w:val="374151"/>
          <w:sz w:val="22"/>
        </w:rPr>
        <w:t xml:space="preserve">Versão: </w:t>
      </w:r>
      <w:r>
        <w:rPr>
          <w:color w:val="374151"/>
          <w:sz w:val="22"/>
        </w:rPr>
        <w:t>1.0</w:t>
      </w:r>
    </w:p>
    <w:p>
      <w:pPr>
        <w:jc w:val="center"/>
      </w:pPr>
      <w:r>
        <w:rPr>
          <w:b/>
          <w:color w:val="374151"/>
          <w:sz w:val="22"/>
        </w:rPr>
        <w:t xml:space="preserve">Data: </w:t>
      </w:r>
      <w:r>
        <w:rPr>
          <w:color w:val="374151"/>
          <w:sz w:val="22"/>
        </w:rPr>
        <w:t>09/04/2026</w:t>
      </w:r>
    </w:p>
    <w:p>
      <w:pPr>
        <w:jc w:val="center"/>
      </w:pPr>
      <w:r>
        <w:rPr>
          <w:b/>
          <w:color w:val="374151"/>
          <w:sz w:val="22"/>
        </w:rPr>
        <w:t xml:space="preserve">Classificação: </w:t>
      </w:r>
      <w:r>
        <w:rPr>
          <w:b/>
          <w:color w:val="DC2626"/>
          <w:sz w:val="22"/>
        </w:rPr>
        <w:t>Confidencial</w:t>
      </w:r>
    </w:p>
    <w:p/>
    <w:p>
      <w:pPr>
        <w:pStyle w:val="Heading1"/>
      </w:pPr>
      <w:r>
        <w:rPr>
          <w:b/>
          <w:color w:val="1E3A8A"/>
          <w:sz w:val="32"/>
        </w:rPr>
        <w:t>1. Objetivo</w:t>
      </w:r>
    </w:p>
    <w:p>
      <w:r>
        <w:rPr>
          <w:color w:val="374151"/>
          <w:sz w:val="22"/>
        </w:rPr>
        <w:t>Este guia define a metodologia para a realização de exercícios tabletop de cibersegurança, destinados a testar a eficácia dos planos de resposta a incidentes, a avaliar a prontidão das equipas e a identificar lacunas nos procedimentos existentes. Os exercícios tabletop são simulações de discussão baseadas em cenários, sem impacto nos sistemas de produção.</w:t>
      </w:r>
    </w:p>
    <w:p>
      <w:r>
        <w:rPr>
          <w:color w:val="374151"/>
          <w:sz w:val="22"/>
        </w:rPr>
        <w:t>O Art. 27.º alínea f) do Decreto-Lei n.º 125/2025 exige que as organizações abrangidas implementem procedimentos para testar e avaliar a eficácia das medidas de gestão do risco de cibersegurança. Os exercícios tabletop constituem um mecanismo eficaz e de baixo custo para cumprir esta obrigação, complementando os testes técnicos de penetração e os exercícios operacionais em ambiente real.</w:t>
      </w:r>
    </w:p>
    <w:p>
      <w:pPr>
        <w:pStyle w:val="Heading1"/>
      </w:pPr>
      <w:r>
        <w:rPr>
          <w:b/>
          <w:color w:val="1E3A8A"/>
          <w:sz w:val="32"/>
        </w:rPr>
        <w:t>2. Preparação do exercício</w:t>
      </w:r>
    </w:p>
    <w:p>
      <w:r>
        <w:rPr>
          <w:color w:val="374151"/>
          <w:sz w:val="22"/>
        </w:rPr>
        <w:t>A preparação adequada é determinante para o sucesso do exercício. O facilitador deve dedicar pelo menos duas semanas à preparação, incluindo a definição do cenário, a seleção dos participantes e a elaboração dos injetores (inject) que guiam a discussão.</w:t>
      </w:r>
    </w:p>
    <w:p>
      <w:pPr>
        <w:pStyle w:val="ListParagraph"/>
      </w:pPr>
      <w:r>
        <w:rPr>
          <w:color w:val="374151"/>
          <w:sz w:val="22"/>
        </w:rPr>
        <w:t>Definição do cenário: selecionar um cenário realista e relevante para o perfil de risco da organização. Basear o cenário em ameaças identificadas na avaliação de riscos mais recente ou em incidentes recentes reportados pelo CNCS ou pelo ENISA.</w:t>
      </w:r>
    </w:p>
    <w:p>
      <w:pPr>
        <w:pStyle w:val="ListParagraph"/>
      </w:pPr>
      <w:r>
        <w:rPr>
          <w:color w:val="374151"/>
          <w:sz w:val="22"/>
        </w:rPr>
        <w:t>Seleção de participantes: incluir representantes do órgão de gestão, CISO, responsáveis de TI, jurídico, comunicação, RH e unidades de negócio críticas. O exercício perde valor se não contar com decisores reais.</w:t>
      </w:r>
    </w:p>
    <w:p>
      <w:pPr>
        <w:pStyle w:val="ListParagraph"/>
      </w:pPr>
      <w:r>
        <w:rPr>
          <w:color w:val="374151"/>
          <w:sz w:val="22"/>
        </w:rPr>
        <w:t>Papel do facilitador: o facilitador (interno ou externo) é responsável por conduzir a discussão, introduzir os injetores, registar as decisões tomadas e garantir que todos os participantes contribuem. Não deve revelar o resultado do cenário antecipadamente.</w:t>
      </w:r>
    </w:p>
    <w:p>
      <w:pPr>
        <w:pStyle w:val="ListParagraph"/>
      </w:pPr>
      <w:r>
        <w:rPr>
          <w:color w:val="374151"/>
          <w:sz w:val="22"/>
        </w:rPr>
        <w:t>Objetivos de aprendizagem: definir 3 a 5 objetivos específicos para o exercício — ex: testar o processo de notificação ao CNCS, avaliar a cadeia de decisão para isolamento de sistemas, testar a comunicação em crise.</w:t>
      </w:r>
    </w:p>
    <w:p>
      <w:pPr>
        <w:pStyle w:val="Heading1"/>
      </w:pPr>
      <w:r>
        <w:rPr>
          <w:b/>
          <w:color w:val="1E3A8A"/>
          <w:sz w:val="32"/>
        </w:rPr>
        <w:t>3. Cenário de exemplo — ransomware</w:t>
      </w:r>
    </w:p>
    <w:p>
      <w:r>
        <w:rPr>
          <w:color w:val="374151"/>
          <w:sz w:val="22"/>
        </w:rPr>
        <w:t>Cenário: na segunda-feira de manhã, vários colaboradores reportam que os seus ficheiros foram encriptados e encontram uma nota de resgate. O SOC confirma que o ransomware se propagou a 40% dos servidores de ficheiros. O grupo responsável exige 2 milhões de euros em 72 horas.</w:t>
      </w:r>
    </w:p>
    <w:p>
      <w:pPr>
        <w:pStyle w:val="ListParagraph"/>
      </w:pPr>
      <w:r>
        <w:rPr>
          <w:color w:val="374151"/>
          <w:sz w:val="22"/>
        </w:rPr>
        <w:t>Injetor 1 (T+0h): o SOC confirma o ransomware. Quem é notificado? Qual o processo de ativação da equipa de resposta a incidentes? Quem tem autoridade para tomar decisões?</w:t>
      </w:r>
    </w:p>
    <w:p>
      <w:pPr>
        <w:pStyle w:val="ListParagraph"/>
      </w:pPr>
      <w:r>
        <w:rPr>
          <w:color w:val="374151"/>
          <w:sz w:val="22"/>
        </w:rPr>
        <w:t>Injetor 2 (T+2h): os sistemas de backup estão encriptados. Qual é o RTO e RPO definidos? Existem backups offline testados? A organização pode operar manualmente?</w:t>
      </w:r>
    </w:p>
    <w:p>
      <w:pPr>
        <w:pStyle w:val="ListParagraph"/>
      </w:pPr>
      <w:r>
        <w:rPr>
          <w:color w:val="374151"/>
          <w:sz w:val="22"/>
        </w:rPr>
        <w:t>Injetor 3 (T+4h): um jornalista contacta a área de comunicação sobre "rumores de ataque". Qual é a mensagem a transmitir? Quem fala com os media? Os clientes são notificados?</w:t>
      </w:r>
    </w:p>
    <w:p>
      <w:pPr>
        <w:pStyle w:val="ListParagraph"/>
      </w:pPr>
      <w:r>
        <w:rPr>
          <w:color w:val="374151"/>
          <w:sz w:val="22"/>
        </w:rPr>
        <w:t>Injetor 4 (T+24h): o CNCS contacta a organização sobre a obrigação de notificação. A organização notificou? Tem a informação necessária para o formulário de notificação? Qual é a estratégia de remediação?</w:t>
      </w:r>
    </w:p>
    <w:p>
      <w:pPr>
        <w:pStyle w:val="Heading1"/>
      </w:pPr>
      <w:r>
        <w:rPr>
          <w:b/>
          <w:color w:val="1E3A8A"/>
          <w:sz w:val="32"/>
        </w:rPr>
        <w:t>4. Cenário de exemplo — data breach</w:t>
      </w:r>
    </w:p>
    <w:p>
      <w:r>
        <w:rPr>
          <w:color w:val="374151"/>
          <w:sz w:val="22"/>
        </w:rPr>
        <w:t>Cenário: a equipa de segurança deteta exfiltração de dados de clientes nos últimos 30 dias por um ator externo que explorou uma vulnerabilidade num portal web. Os dados de 50 000 clientes, incluindo dados pessoais e financeiros, foram comprometidos.</w:t>
      </w:r>
    </w:p>
    <w:p>
      <w:pPr>
        <w:pStyle w:val="ListParagraph"/>
      </w:pPr>
      <w:r>
        <w:rPr>
          <w:color w:val="374151"/>
          <w:sz w:val="22"/>
        </w:rPr>
        <w:t>Injetor 1 (T+0h): confirmação da exfiltração. Quais sistemas são isolados? Como se preservam as evidências? Quem decide o isolamento face ao impacto operacional?</w:t>
      </w:r>
    </w:p>
    <w:p>
      <w:pPr>
        <w:pStyle w:val="ListParagraph"/>
      </w:pPr>
      <w:r>
        <w:rPr>
          <w:color w:val="374151"/>
          <w:sz w:val="22"/>
        </w:rPr>
        <w:t>Injetor 2 (T+12h): confirmação de que dados pessoais foram exfiltrados. Qual é a obrigação face ao RGPD? A CNPD é notificada em 72 horas? Os titulares dos dados são notificados?</w:t>
      </w:r>
    </w:p>
    <w:p>
      <w:pPr>
        <w:pStyle w:val="ListParagraph"/>
      </w:pPr>
      <w:r>
        <w:rPr>
          <w:color w:val="374151"/>
          <w:sz w:val="22"/>
        </w:rPr>
        <w:t>Injetor 3 (T+24h): um cliente afetado contacta os media. Qual é a estratégia de comunicação? A organização admite o incidente? Que informação é partilhada publicamente?</w:t>
      </w:r>
    </w:p>
    <w:p>
      <w:pPr>
        <w:pStyle w:val="ListParagraph"/>
      </w:pPr>
      <w:r>
        <w:rPr>
          <w:color w:val="374151"/>
          <w:sz w:val="22"/>
        </w:rPr>
        <w:t>Injetor 4 (T+48h): o regulador sectorial solicita informação sobre o incidente. A organização tem um ponto de contacto definido? Que documentação está disponível?</w:t>
      </w:r>
    </w:p>
    <w:p>
      <w:pPr>
        <w:pStyle w:val="Heading1"/>
      </w:pPr>
      <w:r>
        <w:rPr>
          <w:b/>
          <w:color w:val="1E3A8A"/>
          <w:sz w:val="32"/>
        </w:rPr>
        <w:t>5. Condução do exercício</w:t>
      </w:r>
    </w:p>
    <w:p>
      <w:r>
        <w:rPr>
          <w:color w:val="374151"/>
          <w:sz w:val="22"/>
        </w:rPr>
        <w:t>O exercício deve ser conduzido num ambiente sem distrações, com duração máxima de 4 horas. O facilitador apresenta o cenário e os injetores sequencialmente, promovendo a discussão e o registo das decisões tomadas pelos participantes.</w:t>
      </w:r>
    </w:p>
    <w:p>
      <w:pPr>
        <w:pStyle w:val="ListParagraph"/>
      </w:pPr>
      <w:r>
        <w:rPr>
          <w:color w:val="374151"/>
          <w:sz w:val="22"/>
        </w:rPr>
        <w:t>Regras de base: o exercício é ficcionado e não constitui julgamento de valor sobre as decisões tomadas. O objetivo é aprender, não avaliar o desempenho individual. As decisões tomadas durante o exercício não têm efeito real.</w:t>
      </w:r>
    </w:p>
    <w:p>
      <w:pPr>
        <w:pStyle w:val="ListParagraph"/>
      </w:pPr>
      <w:r>
        <w:rPr>
          <w:color w:val="374151"/>
          <w:sz w:val="22"/>
        </w:rPr>
        <w:t>Registo: um observador dedicado deve registar as decisões, as lacunas identificadas, as questões sem resposta e os momentos de hesitação. Este registo é a base do relatório de lições aprendidas.</w:t>
      </w:r>
    </w:p>
    <w:p>
      <w:pPr>
        <w:pStyle w:val="Heading1"/>
      </w:pPr>
      <w:r>
        <w:rPr>
          <w:b/>
          <w:color w:val="1E3A8A"/>
          <w:sz w:val="32"/>
        </w:rPr>
        <w:t>6. Avaliação e lições aprendidas</w:t>
      </w:r>
    </w:p>
    <w:p>
      <w:r>
        <w:rPr>
          <w:color w:val="374151"/>
          <w:sz w:val="22"/>
        </w:rPr>
        <w:t>Imediatamente após o exercício (hot wash), o facilitador deve conduzir uma sessão de 30 minutos para recolher impressões imediatas dos participantes. No prazo de 5 dias úteis, deve ser produzido o relatório de lições aprendidas, com ações concretas a implementar.</w:t>
      </w:r>
    </w:p>
    <w:p>
      <w:pPr>
        <w:pStyle w:val="ListParagraph"/>
      </w:pPr>
      <w:r>
        <w:rPr>
          <w:color w:val="374151"/>
          <w:sz w:val="22"/>
        </w:rPr>
        <w:t>Questões de avaliação: os planos existentes são adequados? As responsabilidades estão claramente definidas? A comunicação interna e externa funcionou? As ferramentas e recursos necessários estão disponíveis? Os prazos regulatórios são conhecidos?</w:t>
      </w:r>
    </w:p>
    <w:p>
      <w:pPr>
        <w:pStyle w:val="ListParagraph"/>
      </w:pPr>
      <w:r>
        <w:rPr>
          <w:color w:val="374151"/>
          <w:sz w:val="22"/>
        </w:rPr>
        <w:t>Plano de ações: cada lacuna identificada deve ter uma ação corretiva com responsável e prazo definidos. O plano de ações é revisto na reunião seguinte do comité de cibersegurança.</w:t>
      </w:r>
    </w:p>
    <w:p>
      <w:pPr>
        <w:pStyle w:val="Heading1"/>
      </w:pPr>
      <w:r>
        <w:rPr>
          <w:b/>
          <w:color w:val="1E3A8A"/>
          <w:sz w:val="32"/>
        </w:rPr>
        <w:t>7. Template de relatório do exercício</w:t>
      </w:r>
    </w:p>
    <w:tbl>
      <w:tblPr>
        <w:tblStyle w:val="TableGrid"/>
        <w:tblW w:type="auto" w:w="0"/>
        <w:tblLook w:firstColumn="1" w:firstRow="1" w:lastColumn="0" w:lastRow="0" w:noHBand="0" w:noVBand="1" w:val="04A0"/>
      </w:tblPr>
      <w:tblGrid>
        <w:gridCol w:w="3135"/>
        <w:gridCol w:w="3135"/>
        <w:gridCol w:w="3135"/>
      </w:tblGrid>
      <w:tr>
        <w:tc>
          <w:tcPr>
            <w:tcW w:type="dxa" w:w="3135"/>
            <w:shd w:color="1e3a8a" w:val="solid"/>
            <w:vAlign w:val="center"/>
          </w:tcPr>
          <w:p>
            <w:pPr>
              <w:jc w:val="center"/>
            </w:pPr>
            <w:r/>
            <w:r>
              <w:rPr>
                <w:b/>
                <w:color w:val="FFFFFF"/>
                <w:sz w:val="22"/>
              </w:rPr>
              <w:t>Área avaliada</w:t>
            </w:r>
          </w:p>
        </w:tc>
        <w:tc>
          <w:tcPr>
            <w:tcW w:type="dxa" w:w="3135"/>
            <w:shd w:color="1e3a8a" w:val="solid"/>
            <w:vAlign w:val="center"/>
          </w:tcPr>
          <w:p>
            <w:pPr>
              <w:jc w:val="center"/>
            </w:pPr>
            <w:r/>
            <w:r>
              <w:rPr>
                <w:b/>
                <w:color w:val="FFFFFF"/>
                <w:sz w:val="22"/>
              </w:rPr>
              <w:t>Resultado observado</w:t>
            </w:r>
          </w:p>
        </w:tc>
        <w:tc>
          <w:tcPr>
            <w:tcW w:type="dxa" w:w="3135"/>
            <w:shd w:color="1e3a8a" w:val="solid"/>
            <w:vAlign w:val="center"/>
          </w:tcPr>
          <w:p>
            <w:pPr>
              <w:jc w:val="center"/>
            </w:pPr>
            <w:r/>
            <w:r>
              <w:rPr>
                <w:b/>
                <w:color w:val="FFFFFF"/>
                <w:sz w:val="22"/>
              </w:rPr>
              <w:t>Ação corretiva</w:t>
            </w:r>
          </w:p>
        </w:tc>
      </w:tr>
      <w:tr>
        <w:tc>
          <w:tcPr>
            <w:tcW w:type="dxa" w:w="3135"/>
          </w:tcPr>
          <w:p>
            <w:r/>
            <w:r>
              <w:rPr>
                <w:color w:val="374151"/>
                <w:sz w:val="22"/>
              </w:rPr>
              <w:t>Ativação da equipa de resposta</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Processo de decisão de isolamento</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Notificação regulatória (CNCS/CNPD)</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Comunicação interna</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Comunicação externa / media</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Backups e recuperação</w:t>
            </w:r>
          </w:p>
        </w:tc>
        <w:tc>
          <w:tcPr>
            <w:tcW w:type="dxa" w:w="3135"/>
          </w:tcPr>
          <w:p>
            <w:r/>
            <w:r>
              <w:rPr>
                <w:color w:val="374151"/>
                <w:sz w:val="22"/>
              </w:rPr>
              <w:t>[Observação]</w:t>
            </w:r>
          </w:p>
        </w:tc>
        <w:tc>
          <w:tcPr>
            <w:tcW w:type="dxa" w:w="3135"/>
          </w:tcPr>
          <w:p>
            <w:r/>
            <w:r>
              <w:rPr>
                <w:color w:val="374151"/>
                <w:sz w:val="22"/>
              </w:rPr>
              <w:t>[Ação / Responsável / Prazo]</w:t>
            </w:r>
          </w:p>
        </w:tc>
      </w:tr>
      <w:tr>
        <w:tc>
          <w:tcPr>
            <w:tcW w:type="dxa" w:w="3135"/>
          </w:tcPr>
          <w:p>
            <w:r/>
            <w:r>
              <w:rPr>
                <w:color w:val="374151"/>
                <w:sz w:val="22"/>
              </w:rPr>
              <w:t>Documentação e registos</w:t>
            </w:r>
          </w:p>
        </w:tc>
        <w:tc>
          <w:tcPr>
            <w:tcW w:type="dxa" w:w="3135"/>
          </w:tcPr>
          <w:p>
            <w:r/>
            <w:r>
              <w:rPr>
                <w:color w:val="374151"/>
                <w:sz w:val="22"/>
              </w:rPr>
              <w:t>[Observação]</w:t>
            </w:r>
          </w:p>
        </w:tc>
        <w:tc>
          <w:tcPr>
            <w:tcW w:type="dxa" w:w="3135"/>
          </w:tcPr>
          <w:p>
            <w:r/>
            <w:r>
              <w:rPr>
                <w:color w:val="374151"/>
                <w:sz w:val="22"/>
              </w:rPr>
              <w:t>[Ação / Responsável / Prazo]</w:t>
            </w:r>
          </w:p>
        </w:tc>
      </w:tr>
    </w:tbl>
    <w:p/>
    <w:tbl>
      <w:tblPr>
        <w:tblStyle w:val="TableGrid"/>
        <w:tblW w:type="auto" w:w="0"/>
        <w:tblLook w:firstColumn="1" w:firstRow="1" w:lastColumn="0" w:lastRow="0" w:noHBand="0" w:noVBand="1" w:val="04A0"/>
      </w:tblPr>
      <w:tblGrid>
        <w:gridCol w:w="2351"/>
        <w:gridCol w:w="2351"/>
        <w:gridCol w:w="2351"/>
        <w:gridCol w:w="2351"/>
      </w:tblGrid>
      <w:tr>
        <w:tc>
          <w:tcPr>
            <w:tcW w:type="dxa" w:w="2351"/>
            <w:shd w:color="1e3a8a" w:val="solid"/>
            <w:vAlign w:val="center"/>
          </w:tcPr>
          <w:p>
            <w:pPr>
              <w:jc w:val="center"/>
            </w:pPr>
            <w:r/>
            <w:r>
              <w:rPr>
                <w:b/>
                <w:color w:val="FFFFFF"/>
                <w:sz w:val="22"/>
              </w:rPr>
              <w:t>Função</w:t>
            </w:r>
          </w:p>
        </w:tc>
        <w:tc>
          <w:tcPr>
            <w:tcW w:type="dxa" w:w="2351"/>
            <w:shd w:color="1e3a8a" w:val="solid"/>
            <w:vAlign w:val="center"/>
          </w:tcPr>
          <w:p>
            <w:pPr>
              <w:jc w:val="center"/>
            </w:pPr>
            <w:r/>
            <w:r>
              <w:rPr>
                <w:b/>
                <w:color w:val="FFFFFF"/>
                <w:sz w:val="22"/>
              </w:rPr>
              <w:t>Nome</w:t>
            </w:r>
          </w:p>
        </w:tc>
        <w:tc>
          <w:tcPr>
            <w:tcW w:type="dxa" w:w="2351"/>
            <w:shd w:color="1e3a8a" w:val="solid"/>
            <w:vAlign w:val="center"/>
          </w:tcPr>
          <w:p>
            <w:pPr>
              <w:jc w:val="center"/>
            </w:pPr>
            <w:r/>
            <w:r>
              <w:rPr>
                <w:b/>
                <w:color w:val="FFFFFF"/>
                <w:sz w:val="22"/>
              </w:rPr>
              <w:t>Assinatura</w:t>
            </w:r>
          </w:p>
        </w:tc>
        <w:tc>
          <w:tcPr>
            <w:tcW w:type="dxa" w:w="2351"/>
            <w:shd w:color="1e3a8a" w:val="solid"/>
            <w:vAlign w:val="center"/>
          </w:tcPr>
          <w:p>
            <w:pPr>
              <w:jc w:val="center"/>
            </w:pPr>
            <w:r/>
            <w:r>
              <w:rPr>
                <w:b/>
                <w:color w:val="FFFFFF"/>
                <w:sz w:val="22"/>
              </w:rPr>
              <w:t>Data</w:t>
            </w:r>
          </w:p>
        </w:tc>
      </w:tr>
      <w:tr>
        <w:tc>
          <w:tcPr>
            <w:tcW w:type="dxa" w:w="2351"/>
          </w:tcPr>
          <w:p>
            <w:r/>
            <w:r>
              <w:rPr>
                <w:color w:val="374151"/>
                <w:sz w:val="22"/>
              </w:rPr>
              <w:t>CISO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Facilitador do exercício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r>
        <w:tc>
          <w:tcPr>
            <w:tcW w:type="dxa" w:w="2351"/>
          </w:tcPr>
          <w:p>
            <w:r/>
            <w:r>
              <w:rPr>
                <w:color w:val="374151"/>
                <w:sz w:val="22"/>
              </w:rPr>
              <w:t>Órgão de gestão</w:t>
            </w:r>
          </w:p>
        </w:tc>
        <w:tc>
          <w:tcPr>
            <w:tcW w:type="dxa" w:w="2351"/>
          </w:tcPr>
          <w:p>
            <w:r/>
            <w:r>
              <w:rPr>
                <w:color w:val="374151"/>
                <w:sz w:val="22"/>
              </w:rPr>
              <w:t>[Nome]</w:t>
            </w:r>
          </w:p>
        </w:tc>
        <w:tc>
          <w:tcPr>
            <w:tcW w:type="dxa" w:w="2351"/>
          </w:tcPr>
          <w:p>
            <w:r/>
            <w:r>
              <w:rPr>
                <w:color w:val="374151"/>
                <w:sz w:val="22"/>
              </w:rPr>
            </w:r>
          </w:p>
        </w:tc>
        <w:tc>
          <w:tcPr>
            <w:tcW w:type="dxa" w:w="2351"/>
          </w:tcPr>
          <w:p>
            <w:r/>
            <w:r>
              <w:rPr>
                <w:color w:val="374151"/>
                <w:sz w:val="22"/>
              </w:rPr>
            </w:r>
          </w:p>
        </w:tc>
      </w:tr>
    </w:tbl>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